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08BD" w:rsidRDefault="004E08BD" w:rsidP="004E08BD">
      <w:pPr>
        <w:pStyle w:val="Acknowledgement"/>
        <w:spacing w:line="480" w:lineRule="auto"/>
        <w:ind w:left="0" w:firstLine="0"/>
        <w:jc w:val="both"/>
        <w:rPr>
          <w:b/>
        </w:rPr>
      </w:pPr>
    </w:p>
    <w:p w:rsidR="004E08BD" w:rsidRDefault="004E08BD" w:rsidP="004E08BD">
      <w:pPr>
        <w:spacing w:line="480" w:lineRule="auto"/>
        <w:jc w:val="both"/>
        <w:rPr>
          <w:rFonts w:ascii="Times New Roman" w:hAnsi="Times New Roman" w:cs="Times New Roman"/>
          <w:sz w:val="24"/>
          <w:szCs w:val="20"/>
          <w:lang w:val="en-US"/>
        </w:rPr>
      </w:pPr>
      <w:r w:rsidRPr="00E34153">
        <w:rPr>
          <w:rFonts w:ascii="Times New Roman" w:hAnsi="Times New Roman" w:cs="Times New Roman"/>
          <w:b/>
          <w:sz w:val="24"/>
          <w:szCs w:val="20"/>
          <w:lang w:val="en-GB"/>
        </w:rPr>
        <w:t>Fig.</w:t>
      </w:r>
      <w:r>
        <w:rPr>
          <w:rFonts w:ascii="Times New Roman" w:hAnsi="Times New Roman" w:cs="Times New Roman"/>
          <w:b/>
          <w:sz w:val="24"/>
          <w:szCs w:val="20"/>
          <w:lang w:val="en-GB"/>
        </w:rPr>
        <w:t>S</w:t>
      </w:r>
      <w:r w:rsidRPr="00E34153">
        <w:rPr>
          <w:rFonts w:ascii="Times New Roman" w:hAnsi="Times New Roman" w:cs="Times New Roman"/>
          <w:b/>
          <w:sz w:val="24"/>
          <w:szCs w:val="20"/>
          <w:lang w:val="en-GB"/>
        </w:rPr>
        <w:t xml:space="preserve">1. Baseline plasma characteristics in healthy vs. </w:t>
      </w:r>
      <w:r w:rsidRPr="00E34153">
        <w:rPr>
          <w:rFonts w:ascii="Times New Roman" w:hAnsi="Times New Roman" w:cs="Times New Roman"/>
          <w:b/>
          <w:sz w:val="24"/>
          <w:szCs w:val="20"/>
          <w:lang w:val="en-US"/>
        </w:rPr>
        <w:t xml:space="preserve">stage 1 necrotizing enterocolitis children. </w:t>
      </w:r>
      <w:r w:rsidRPr="00E34153">
        <w:rPr>
          <w:rFonts w:ascii="Times New Roman" w:hAnsi="Times New Roman" w:cs="Times New Roman"/>
          <w:sz w:val="24"/>
          <w:szCs w:val="20"/>
          <w:lang w:val="en-US"/>
        </w:rPr>
        <w:t xml:space="preserve">A) pH; B) enteral milk volume at day 7; C) hemoglobin (Hb); D) white blood cells (WBC); E) platelets; F) lactate; G) preterm premature rupture of the membranes. </w:t>
      </w:r>
      <w:bookmarkStart w:id="0" w:name="OLE_LINK3"/>
      <w:r w:rsidRPr="00E34153">
        <w:rPr>
          <w:rFonts w:ascii="Times New Roman" w:hAnsi="Times New Roman" w:cs="Times New Roman"/>
          <w:sz w:val="24"/>
          <w:szCs w:val="20"/>
          <w:lang w:val="en-US"/>
        </w:rPr>
        <w:t>*P&lt;0.05</w:t>
      </w:r>
      <w:bookmarkEnd w:id="0"/>
      <w:r w:rsidRPr="00E34153">
        <w:rPr>
          <w:rFonts w:ascii="Times New Roman" w:hAnsi="Times New Roman" w:cs="Times New Roman"/>
          <w:sz w:val="24"/>
          <w:szCs w:val="20"/>
          <w:lang w:val="en-US"/>
        </w:rPr>
        <w:t>, ***P&lt;0.001. Mann-Whitney. N=21 for H and N=11 for NEC-1.</w:t>
      </w:r>
    </w:p>
    <w:p w:rsidR="004E08BD" w:rsidRPr="00E34153" w:rsidRDefault="004E08BD" w:rsidP="004E08BD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0"/>
          <w:lang w:val="en-US"/>
        </w:rPr>
      </w:pPr>
    </w:p>
    <w:p w:rsidR="004E08BD" w:rsidRPr="00E34153" w:rsidRDefault="004E08BD" w:rsidP="004E08BD">
      <w:pPr>
        <w:pStyle w:val="Acknowledgement"/>
        <w:spacing w:line="480" w:lineRule="auto"/>
        <w:ind w:left="0" w:firstLine="0"/>
        <w:jc w:val="both"/>
        <w:rPr>
          <w:szCs w:val="20"/>
        </w:rPr>
      </w:pPr>
      <w:r w:rsidRPr="00E34153">
        <w:rPr>
          <w:b/>
          <w:szCs w:val="20"/>
        </w:rPr>
        <w:t>Fig.</w:t>
      </w:r>
      <w:r>
        <w:rPr>
          <w:b/>
          <w:szCs w:val="20"/>
        </w:rPr>
        <w:t>S</w:t>
      </w:r>
      <w:r w:rsidRPr="00E34153">
        <w:rPr>
          <w:b/>
          <w:szCs w:val="20"/>
        </w:rPr>
        <w:t xml:space="preserve">2. Analysis of gut microbiota, microbiome and metabolome during stage 1 necrotizing enterocolitis over the first two months of life. </w:t>
      </w:r>
      <w:r w:rsidRPr="00E34153">
        <w:rPr>
          <w:szCs w:val="20"/>
        </w:rPr>
        <w:t>A) Gut microbiota analysis via LDA score between healthy (H) vs. stage 1 necrotizing enterocolitis children (NEC-1); B) PCA of the gut microbiota; C) Indices of gut microbiota diversity; D) LDA score for microbial pathways; E) histogram of the overall fecal metabolites and PCA as inset. ****P&lt;0.0001, two-way ANOVA followed by a two-stage linear step-up procedure of Benjamini, Krieger and Yekutieli to correct for multiple comparisons by controlling the False Discovery Rate (&lt;0.05); N=53 for H and N=27 for NEC-1.</w:t>
      </w:r>
    </w:p>
    <w:p w:rsidR="004E08BD" w:rsidRPr="00E34153" w:rsidRDefault="004E08BD" w:rsidP="004E08BD">
      <w:pPr>
        <w:pStyle w:val="Acknowledgement"/>
        <w:spacing w:line="480" w:lineRule="auto"/>
        <w:ind w:left="0" w:firstLine="0"/>
        <w:jc w:val="both"/>
        <w:rPr>
          <w:b/>
          <w:szCs w:val="20"/>
        </w:rPr>
      </w:pPr>
    </w:p>
    <w:p w:rsidR="004E08BD" w:rsidRPr="00E34153" w:rsidRDefault="004E08BD" w:rsidP="004E08BD">
      <w:pPr>
        <w:pStyle w:val="Acknowledgement"/>
        <w:spacing w:line="480" w:lineRule="auto"/>
        <w:ind w:left="0" w:firstLine="0"/>
        <w:jc w:val="both"/>
        <w:rPr>
          <w:szCs w:val="20"/>
        </w:rPr>
      </w:pPr>
      <w:r w:rsidRPr="00E34153">
        <w:rPr>
          <w:b/>
          <w:szCs w:val="20"/>
        </w:rPr>
        <w:t>Fig.</w:t>
      </w:r>
      <w:r>
        <w:rPr>
          <w:b/>
          <w:szCs w:val="20"/>
        </w:rPr>
        <w:t>S</w:t>
      </w:r>
      <w:r w:rsidRPr="00E34153">
        <w:rPr>
          <w:b/>
          <w:szCs w:val="20"/>
        </w:rPr>
        <w:t xml:space="preserve">3. A specific microbiome and metabolome exist in healthy vs. stage 1 necrotizing enterocolitis children over the first two months of life. </w:t>
      </w:r>
      <w:r w:rsidRPr="00E34153">
        <w:rPr>
          <w:szCs w:val="20"/>
        </w:rPr>
        <w:t>A) INTRA_NEC-1 LDA score for microbial pathways; B) histogram of the overall fecal metabolites and PCA as inset; C) INTRA_NEC-1 pathway-associated metabolite sets; D) INTRA_NEC-1 SNP-associated metabolite sets. **P&lt;0.05, ***P&lt;0.01, ****P&lt;0.0001, two-way ANOVA followed by a two-stage linear step-up procedure of Benjamini, Krieger and Yekutieli to correct for multiple comparisons by controlling the False Discovery Rate (&lt;0.05).</w:t>
      </w:r>
    </w:p>
    <w:p w:rsidR="004E08BD" w:rsidRPr="00E34153" w:rsidRDefault="004E08BD" w:rsidP="004E08BD">
      <w:pPr>
        <w:pStyle w:val="Acknowledgement"/>
        <w:spacing w:line="480" w:lineRule="auto"/>
        <w:ind w:left="0" w:firstLine="0"/>
        <w:jc w:val="both"/>
        <w:rPr>
          <w:szCs w:val="20"/>
        </w:rPr>
      </w:pPr>
    </w:p>
    <w:p w:rsidR="004E08BD" w:rsidRPr="00E34153" w:rsidRDefault="004E08BD" w:rsidP="004E08BD">
      <w:pPr>
        <w:pStyle w:val="Acknowledgement"/>
        <w:spacing w:line="480" w:lineRule="auto"/>
        <w:ind w:left="0" w:firstLine="0"/>
        <w:jc w:val="both"/>
        <w:rPr>
          <w:szCs w:val="20"/>
        </w:rPr>
      </w:pPr>
      <w:r w:rsidRPr="00E34153">
        <w:rPr>
          <w:b/>
          <w:szCs w:val="20"/>
        </w:rPr>
        <w:lastRenderedPageBreak/>
        <w:t>Fig.</w:t>
      </w:r>
      <w:r>
        <w:rPr>
          <w:b/>
          <w:szCs w:val="20"/>
        </w:rPr>
        <w:t>S</w:t>
      </w:r>
      <w:r w:rsidRPr="00E34153">
        <w:rPr>
          <w:b/>
          <w:szCs w:val="20"/>
        </w:rPr>
        <w:t xml:space="preserve">4. Fecal metabolome progression over the first two months of life in healthy children. </w:t>
      </w:r>
      <w:r w:rsidRPr="00E34153">
        <w:rPr>
          <w:szCs w:val="20"/>
        </w:rPr>
        <w:t>A) histogram of the overall fecal metabolites and PCA as inset; B) INTRA_H pathway-associated metabolite sets; C) INTRA_H SNP-associated metabolite sets. ***P&lt;0.01, ****P&lt;0.0001, two-way ANOVA followed by a two-stage linear step-up procedure of Benjamini, Krieger and Yekutieli to correct for multiple comparisons by controlling the False Discovery Rate (&lt;0.05).</w:t>
      </w:r>
    </w:p>
    <w:p w:rsidR="004E08BD" w:rsidRPr="00E34153" w:rsidRDefault="004E08BD" w:rsidP="004E08BD">
      <w:pPr>
        <w:pStyle w:val="Acknowledgement"/>
        <w:spacing w:line="480" w:lineRule="auto"/>
        <w:ind w:left="0" w:firstLine="0"/>
        <w:jc w:val="both"/>
        <w:rPr>
          <w:szCs w:val="20"/>
        </w:rPr>
      </w:pPr>
    </w:p>
    <w:p w:rsidR="004E08BD" w:rsidRDefault="004E08BD" w:rsidP="004E08BD">
      <w:pPr>
        <w:pStyle w:val="Acknowledgement"/>
        <w:spacing w:line="480" w:lineRule="auto"/>
        <w:ind w:left="0" w:firstLine="0"/>
        <w:jc w:val="both"/>
        <w:rPr>
          <w:szCs w:val="20"/>
        </w:rPr>
      </w:pPr>
      <w:r w:rsidRPr="00E34153">
        <w:rPr>
          <w:b/>
          <w:szCs w:val="20"/>
        </w:rPr>
        <w:t>Fig.</w:t>
      </w:r>
      <w:r>
        <w:rPr>
          <w:b/>
          <w:szCs w:val="20"/>
        </w:rPr>
        <w:t>S</w:t>
      </w:r>
      <w:r w:rsidRPr="00E34153">
        <w:rPr>
          <w:b/>
          <w:szCs w:val="20"/>
        </w:rPr>
        <w:t xml:space="preserve">5. Maternal and child factors shaping gut microbiota and microbiome in healthy vs. stage 1 necrotizing enterocolitis children. </w:t>
      </w:r>
      <w:r w:rsidRPr="00E34153">
        <w:rPr>
          <w:szCs w:val="20"/>
        </w:rPr>
        <w:t>Six factors were examined: neonatal antibiotics (ABx), ABx treatment on mother, C-section (C-sec) vs. vaginal birth (VB), very low birth weight (VLBW), extremely low birth weight (ELBW) and gestational age (GA) &gt; or ≤ 28 weeks (28w); A) Gut microbiota analysis via LDA score; B) to F) microbiome analysis via LDA score. P&lt;0.05 or P&lt;0.01 as indicated (B).</w:t>
      </w:r>
    </w:p>
    <w:p w:rsidR="004E08BD" w:rsidRPr="00E34153" w:rsidRDefault="004E08BD" w:rsidP="004E08BD">
      <w:pPr>
        <w:pStyle w:val="Acknowledgement"/>
        <w:spacing w:line="480" w:lineRule="auto"/>
        <w:ind w:left="0" w:firstLine="0"/>
        <w:jc w:val="both"/>
        <w:rPr>
          <w:szCs w:val="20"/>
        </w:rPr>
      </w:pPr>
    </w:p>
    <w:p w:rsidR="004E08BD" w:rsidRPr="00E34153" w:rsidRDefault="004E08BD" w:rsidP="004E08BD">
      <w:pPr>
        <w:pStyle w:val="Acknowledgement"/>
        <w:spacing w:line="480" w:lineRule="auto"/>
        <w:ind w:left="0" w:firstLine="0"/>
        <w:jc w:val="both"/>
        <w:rPr>
          <w:b/>
          <w:szCs w:val="20"/>
        </w:rPr>
      </w:pPr>
      <w:r w:rsidRPr="00E34153">
        <w:rPr>
          <w:b/>
          <w:szCs w:val="20"/>
        </w:rPr>
        <w:t>Fig.</w:t>
      </w:r>
      <w:r>
        <w:rPr>
          <w:b/>
          <w:szCs w:val="20"/>
        </w:rPr>
        <w:t>S</w:t>
      </w:r>
      <w:r w:rsidRPr="00E34153">
        <w:rPr>
          <w:b/>
          <w:szCs w:val="20"/>
        </w:rPr>
        <w:t xml:space="preserve">6. Maternal and child factors shaping fecal metabolome in healthy vs. stage 1 necrotizing enterocolitis children. </w:t>
      </w:r>
      <w:r w:rsidRPr="00E34153">
        <w:rPr>
          <w:szCs w:val="20"/>
        </w:rPr>
        <w:t xml:space="preserve">Six factors were examined: neonatal antibiotics (ABx), ABx treatment on mother, C-section (C-sec) vs. vaginal birth (VB), very low birth weight (VLBW), extremely low birth weight (ELBW) and gestational age (GA) &gt; or ≤ 28 weeks (28w). A) to F) histogram of the overall fecal metabolites. **P&lt;0.05, ***P&lt;0.01, ****P&lt;0.0001, two-way ANOVA followed by a two-stage linear step-up procedure of Benjamini. Krieger and Yekutieli to correct for multiple comparisons by controlling the False Discovery Rate (&lt;0.05). G) </w:t>
      </w:r>
      <w:r w:rsidRPr="00E34153">
        <w:rPr>
          <w:szCs w:val="20"/>
          <w:lang w:val="fr-FR"/>
        </w:rPr>
        <w:t>NEC-1_GA≤28w pathway-associated metabolite sets.</w:t>
      </w:r>
    </w:p>
    <w:p w:rsidR="004E08BD" w:rsidRPr="004C7513" w:rsidRDefault="004E08BD" w:rsidP="004E08BD">
      <w:pPr>
        <w:pStyle w:val="Acknowledgement"/>
        <w:spacing w:line="480" w:lineRule="auto"/>
        <w:ind w:left="0" w:firstLine="0"/>
        <w:jc w:val="both"/>
        <w:rPr>
          <w:b/>
        </w:rPr>
      </w:pPr>
    </w:p>
    <w:p w:rsidR="003517B1" w:rsidRDefault="003517B1">
      <w:bookmarkStart w:id="1" w:name="_GoBack"/>
      <w:bookmarkEnd w:id="1"/>
    </w:p>
    <w:sectPr w:rsidR="003517B1" w:rsidSect="00D23D96">
      <w:footerReference w:type="default" r:id="rId4"/>
      <w:pgSz w:w="11906" w:h="16838"/>
      <w:pgMar w:top="1701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67190031"/>
      <w:docPartObj>
        <w:docPartGallery w:val="Page Numbers (Bottom of Page)"/>
        <w:docPartUnique/>
      </w:docPartObj>
    </w:sdtPr>
    <w:sdtEndPr/>
    <w:sdtContent>
      <w:p w:rsidR="002A0CD4" w:rsidRDefault="004E08BD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  <w:p w:rsidR="002A0CD4" w:rsidRDefault="004E08B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8BD"/>
    <w:rsid w:val="000731CB"/>
    <w:rsid w:val="00275F92"/>
    <w:rsid w:val="0029568F"/>
    <w:rsid w:val="00317F7C"/>
    <w:rsid w:val="003517B1"/>
    <w:rsid w:val="004E08BD"/>
    <w:rsid w:val="0060409E"/>
    <w:rsid w:val="00615B5F"/>
    <w:rsid w:val="00783965"/>
    <w:rsid w:val="00950ED0"/>
    <w:rsid w:val="009D7BE2"/>
    <w:rsid w:val="00A11F89"/>
    <w:rsid w:val="00A26124"/>
    <w:rsid w:val="00A4604F"/>
    <w:rsid w:val="00A571C8"/>
    <w:rsid w:val="00A57C61"/>
    <w:rsid w:val="00B43DCD"/>
    <w:rsid w:val="00BB7BE0"/>
    <w:rsid w:val="00C32A2C"/>
    <w:rsid w:val="00CA4D41"/>
    <w:rsid w:val="00CA5CE0"/>
    <w:rsid w:val="00CB143C"/>
    <w:rsid w:val="00CC5166"/>
    <w:rsid w:val="00CF7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C2581A-28F0-47A3-B5F1-C754DCD80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08BD"/>
    <w:pPr>
      <w:spacing w:after="160" w:line="259" w:lineRule="auto"/>
    </w:pPr>
    <w:rPr>
      <w:sz w:val="22"/>
      <w:szCs w:val="22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4E08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8BD"/>
    <w:rPr>
      <w:sz w:val="22"/>
      <w:szCs w:val="22"/>
      <w:lang w:val="fr-FR"/>
    </w:rPr>
  </w:style>
  <w:style w:type="paragraph" w:customStyle="1" w:styleId="Acknowledgement">
    <w:name w:val="Acknowledgement"/>
    <w:basedOn w:val="Normal"/>
    <w:rsid w:val="004E08BD"/>
    <w:pPr>
      <w:spacing w:before="120" w:after="0" w:line="240" w:lineRule="auto"/>
      <w:ind w:left="720" w:hanging="720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</Words>
  <Characters>2708</Characters>
  <Application>Microsoft Office Word</Application>
  <DocSecurity>0</DocSecurity>
  <Lines>22</Lines>
  <Paragraphs>6</Paragraphs>
  <ScaleCrop>false</ScaleCrop>
  <Company/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2020-02-03T23:59:00Z</dcterms:created>
  <dcterms:modified xsi:type="dcterms:W3CDTF">2020-02-03T23:59:00Z</dcterms:modified>
</cp:coreProperties>
</file>